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314" w:rsidRPr="00962CD1" w:rsidRDefault="00962CD1" w:rsidP="00962CD1">
      <w:pPr>
        <w:spacing w:after="0" w:line="240" w:lineRule="auto"/>
        <w:jc w:val="center"/>
        <w:rPr>
          <w:u w:val="single"/>
        </w:rPr>
      </w:pPr>
      <w:r w:rsidRPr="00962CD1">
        <w:rPr>
          <w:u w:val="single"/>
        </w:rPr>
        <w:t>NEW YORK STATE ENERGY PLANNING BOARD</w:t>
      </w:r>
    </w:p>
    <w:p w:rsidR="0072072D" w:rsidRDefault="0072072D" w:rsidP="00962CD1">
      <w:pPr>
        <w:spacing w:after="0" w:line="240" w:lineRule="auto"/>
        <w:jc w:val="center"/>
        <w:rPr>
          <w:u w:val="single"/>
        </w:rPr>
      </w:pPr>
      <w:r>
        <w:rPr>
          <w:u w:val="single"/>
        </w:rPr>
        <w:t>BYLAWS</w:t>
      </w:r>
    </w:p>
    <w:p w:rsidR="007D68E1" w:rsidRPr="007D68E1" w:rsidRDefault="007D68E1" w:rsidP="00962CD1">
      <w:pPr>
        <w:spacing w:after="0" w:line="240" w:lineRule="auto"/>
        <w:jc w:val="center"/>
      </w:pPr>
      <w:r w:rsidRPr="007D68E1">
        <w:t>Adopted 11/23/10</w:t>
      </w:r>
    </w:p>
    <w:p w:rsidR="00962CD1" w:rsidRDefault="00962CD1" w:rsidP="00962CD1">
      <w:pPr>
        <w:spacing w:after="0" w:line="240" w:lineRule="auto"/>
      </w:pPr>
    </w:p>
    <w:p w:rsidR="00293D83" w:rsidRDefault="00293D83" w:rsidP="00962CD1">
      <w:pPr>
        <w:spacing w:after="0" w:line="240" w:lineRule="auto"/>
      </w:pPr>
    </w:p>
    <w:p w:rsidR="00962CD1" w:rsidRDefault="00962CD1" w:rsidP="004A145B">
      <w:pPr>
        <w:spacing w:after="0" w:line="240" w:lineRule="auto"/>
        <w:jc w:val="both"/>
      </w:pPr>
      <w:r>
        <w:t>I.</w:t>
      </w:r>
      <w:r>
        <w:tab/>
      </w:r>
      <w:r>
        <w:rPr>
          <w:u w:val="single"/>
        </w:rPr>
        <w:t>TITLE AND STATUTORY AUTHORITY</w:t>
      </w:r>
    </w:p>
    <w:p w:rsidR="00962CD1" w:rsidRDefault="00962CD1" w:rsidP="004A145B">
      <w:pPr>
        <w:spacing w:after="0" w:line="240" w:lineRule="auto"/>
        <w:jc w:val="both"/>
      </w:pPr>
    </w:p>
    <w:p w:rsidR="001167B1" w:rsidRDefault="00962CD1" w:rsidP="004A145B">
      <w:pPr>
        <w:spacing w:after="0" w:line="240" w:lineRule="auto"/>
        <w:ind w:left="720"/>
        <w:jc w:val="both"/>
      </w:pPr>
      <w:r>
        <w:t>The Energy Planning Board is established pursuant to Section 6-102 of the Energy Law</w:t>
      </w:r>
      <w:r w:rsidR="001167B1">
        <w:t>.</w:t>
      </w:r>
    </w:p>
    <w:p w:rsidR="00962CD1" w:rsidRDefault="001167B1" w:rsidP="004A145B">
      <w:pPr>
        <w:spacing w:after="0" w:line="240" w:lineRule="auto"/>
        <w:ind w:left="720"/>
        <w:jc w:val="both"/>
      </w:pPr>
      <w:r>
        <w:t xml:space="preserve"> </w:t>
      </w:r>
    </w:p>
    <w:p w:rsidR="00795492" w:rsidRDefault="00795492" w:rsidP="004A145B">
      <w:pPr>
        <w:spacing w:after="0" w:line="240" w:lineRule="auto"/>
        <w:ind w:left="720"/>
        <w:jc w:val="both"/>
      </w:pPr>
    </w:p>
    <w:p w:rsidR="00962CD1" w:rsidRDefault="00962CD1" w:rsidP="004A145B">
      <w:pPr>
        <w:spacing w:after="0" w:line="240" w:lineRule="auto"/>
        <w:jc w:val="both"/>
      </w:pPr>
      <w:r>
        <w:t>II.</w:t>
      </w:r>
      <w:r>
        <w:tab/>
      </w:r>
      <w:r>
        <w:rPr>
          <w:u w:val="single"/>
        </w:rPr>
        <w:t>MEMBERS OF THE ENERGY PLANNING BOARD</w:t>
      </w:r>
    </w:p>
    <w:p w:rsidR="00962CD1" w:rsidRDefault="00962CD1" w:rsidP="004A145B">
      <w:pPr>
        <w:spacing w:after="0" w:line="240" w:lineRule="auto"/>
        <w:jc w:val="both"/>
      </w:pPr>
    </w:p>
    <w:p w:rsidR="00E56370" w:rsidRDefault="00962CD1" w:rsidP="002F3290">
      <w:pPr>
        <w:pStyle w:val="ListParagraph"/>
        <w:numPr>
          <w:ilvl w:val="0"/>
          <w:numId w:val="5"/>
        </w:numPr>
        <w:spacing w:after="0" w:line="240" w:lineRule="auto"/>
        <w:ind w:left="1440" w:hanging="720"/>
        <w:jc w:val="both"/>
      </w:pPr>
      <w:r>
        <w:t xml:space="preserve">The Board shall consist of </w:t>
      </w:r>
      <w:r w:rsidR="00A464E1">
        <w:t xml:space="preserve">thirteen (13) </w:t>
      </w:r>
      <w:r w:rsidR="00BD32DF">
        <w:t xml:space="preserve">voting </w:t>
      </w:r>
      <w:r>
        <w:t xml:space="preserve">members: the Chair of the Public Service Commission, </w:t>
      </w:r>
      <w:r w:rsidR="00BD32DF">
        <w:t xml:space="preserve">the Commissioner of Environmental Conservation, </w:t>
      </w:r>
      <w:r>
        <w:t xml:space="preserve">the </w:t>
      </w:r>
      <w:r w:rsidR="00BD32DF">
        <w:t>President of Empire State Development, the Commissioner of Transportation, t</w:t>
      </w:r>
      <w:r>
        <w:t>he Commissioner</w:t>
      </w:r>
      <w:r w:rsidR="00BD32DF">
        <w:t xml:space="preserve"> of</w:t>
      </w:r>
      <w:r>
        <w:t xml:space="preserve"> </w:t>
      </w:r>
      <w:r w:rsidR="00BD32DF">
        <w:t>Labor, the Director of the State Emergency Management Office, the Chair of the Consumer Protection Board, the Commissioner of Health, the Secretary of State, the President of the New York State Energy Research and Development Authority, and a representative appointed by each of the Governor, the Spea</w:t>
      </w:r>
      <w:r w:rsidR="00A325B5">
        <w:t>ker o</w:t>
      </w:r>
      <w:r w:rsidR="00BD32DF">
        <w:t>f the Assembly and the</w:t>
      </w:r>
      <w:r w:rsidR="00A325B5">
        <w:t xml:space="preserve"> T</w:t>
      </w:r>
      <w:r w:rsidR="00BD32DF">
        <w:t>emp</w:t>
      </w:r>
      <w:r w:rsidR="00A325B5">
        <w:t>orary</w:t>
      </w:r>
      <w:r w:rsidR="00BD32DF">
        <w:t xml:space="preserve"> Presid</w:t>
      </w:r>
      <w:r w:rsidR="00A325B5">
        <w:t>e</w:t>
      </w:r>
      <w:r w:rsidR="00BD32DF">
        <w:t xml:space="preserve">nt of the Senate. </w:t>
      </w:r>
    </w:p>
    <w:p w:rsidR="00743C4E" w:rsidRDefault="00743C4E" w:rsidP="00743C4E">
      <w:pPr>
        <w:pStyle w:val="ListParagraph"/>
        <w:spacing w:after="0" w:line="240" w:lineRule="auto"/>
        <w:ind w:left="1440"/>
        <w:jc w:val="both"/>
      </w:pPr>
    </w:p>
    <w:p w:rsidR="00962CD1" w:rsidRDefault="00E56370" w:rsidP="00743C4E">
      <w:pPr>
        <w:pStyle w:val="ListParagraph"/>
        <w:numPr>
          <w:ilvl w:val="0"/>
          <w:numId w:val="5"/>
        </w:numPr>
        <w:spacing w:after="0" w:line="240" w:lineRule="auto"/>
        <w:ind w:left="1440" w:hanging="720"/>
        <w:jc w:val="both"/>
      </w:pPr>
      <w:r>
        <w:t>T</w:t>
      </w:r>
      <w:r w:rsidR="00A325B5">
        <w:t>he p</w:t>
      </w:r>
      <w:r w:rsidR="00BD32DF">
        <w:t>residing office</w:t>
      </w:r>
      <w:r w:rsidR="00A325B5">
        <w:t>r</w:t>
      </w:r>
      <w:r w:rsidR="00BD32DF">
        <w:t xml:space="preserve"> of the New York I</w:t>
      </w:r>
      <w:r w:rsidR="00A325B5">
        <w:t>n</w:t>
      </w:r>
      <w:r w:rsidR="00BD32DF">
        <w:t>dependent System Operato</w:t>
      </w:r>
      <w:r w:rsidR="00A325B5">
        <w:t>r is a nonvoting member of the Board.</w:t>
      </w:r>
    </w:p>
    <w:p w:rsidR="00743C4E" w:rsidRDefault="00743C4E" w:rsidP="00743C4E">
      <w:pPr>
        <w:pStyle w:val="ListParagraph"/>
      </w:pPr>
    </w:p>
    <w:p w:rsidR="00E56370" w:rsidRDefault="001167B1" w:rsidP="00743C4E">
      <w:pPr>
        <w:pStyle w:val="ListParagraph"/>
        <w:numPr>
          <w:ilvl w:val="0"/>
          <w:numId w:val="5"/>
        </w:numPr>
        <w:spacing w:after="0" w:line="240" w:lineRule="auto"/>
        <w:ind w:left="1440" w:hanging="720"/>
        <w:jc w:val="both"/>
      </w:pPr>
      <w:r w:rsidRPr="001167B1">
        <w:t>Re</w:t>
      </w:r>
      <w:r w:rsidR="00E56370" w:rsidRPr="001167B1">
        <w:t>gional planning council members</w:t>
      </w:r>
      <w:r w:rsidRPr="001167B1">
        <w:t>, appointed pursuant to section 6-102(2</w:t>
      </w:r>
      <w:proofErr w:type="gramStart"/>
      <w:r w:rsidRPr="001167B1">
        <w:t>)(</w:t>
      </w:r>
      <w:proofErr w:type="gramEnd"/>
      <w:r w:rsidRPr="001167B1">
        <w:t xml:space="preserve">b) of the Energy Law, shall </w:t>
      </w:r>
      <w:r w:rsidR="00E56370" w:rsidRPr="001167B1">
        <w:t xml:space="preserve">not </w:t>
      </w:r>
      <w:r w:rsidRPr="001167B1">
        <w:t xml:space="preserve">be </w:t>
      </w:r>
      <w:r w:rsidR="00E56370" w:rsidRPr="001167B1">
        <w:t xml:space="preserve">considered members of the Board for purposes of participating in Board meetings, except that </w:t>
      </w:r>
      <w:r w:rsidR="00E33B65">
        <w:t xml:space="preserve">a </w:t>
      </w:r>
      <w:r>
        <w:t>r</w:t>
      </w:r>
      <w:r w:rsidRPr="001167B1">
        <w:t xml:space="preserve">egional planning council member </w:t>
      </w:r>
      <w:r w:rsidR="00E56370" w:rsidRPr="001167B1">
        <w:t xml:space="preserve">can participate as </w:t>
      </w:r>
      <w:r w:rsidR="00E33B65">
        <w:t xml:space="preserve">a </w:t>
      </w:r>
      <w:r w:rsidR="00E56370" w:rsidRPr="001167B1">
        <w:t>nonvoting member when items relating specifically to that member’s region,</w:t>
      </w:r>
      <w:r w:rsidR="003458F9" w:rsidRPr="001167B1">
        <w:t xml:space="preserve"> </w:t>
      </w:r>
      <w:r w:rsidR="00E56370" w:rsidRPr="001167B1">
        <w:t>as determined b</w:t>
      </w:r>
      <w:r>
        <w:t xml:space="preserve">y the </w:t>
      </w:r>
      <w:r w:rsidR="004E5C21">
        <w:t>Board,</w:t>
      </w:r>
      <w:r w:rsidR="00E33B65">
        <w:t xml:space="preserve"> </w:t>
      </w:r>
      <w:r>
        <w:t xml:space="preserve">are </w:t>
      </w:r>
      <w:r w:rsidR="00F93601">
        <w:t xml:space="preserve">discussed at </w:t>
      </w:r>
      <w:r>
        <w:t xml:space="preserve">a particular board meeting.  </w:t>
      </w:r>
    </w:p>
    <w:p w:rsidR="00743C4E" w:rsidRDefault="00743C4E" w:rsidP="00743C4E">
      <w:pPr>
        <w:pStyle w:val="ListParagraph"/>
      </w:pPr>
    </w:p>
    <w:p w:rsidR="00E56370" w:rsidRDefault="00E56370" w:rsidP="00743C4E">
      <w:pPr>
        <w:pStyle w:val="ListParagraph"/>
        <w:numPr>
          <w:ilvl w:val="0"/>
          <w:numId w:val="5"/>
        </w:numPr>
        <w:spacing w:after="0" w:line="240" w:lineRule="auto"/>
        <w:ind w:left="1440" w:hanging="720"/>
        <w:jc w:val="both"/>
      </w:pPr>
      <w:r>
        <w:t xml:space="preserve">Members of the Board </w:t>
      </w:r>
      <w:r w:rsidR="001167B1">
        <w:t xml:space="preserve">described in sections (a) and (b) above </w:t>
      </w:r>
      <w:r>
        <w:t>may designate an executive staff representative to participate on the Board on their behalf</w:t>
      </w:r>
      <w:r w:rsidR="001167B1">
        <w:t xml:space="preserve">.  Such designation should be made </w:t>
      </w:r>
      <w:r>
        <w:t>in writing to the Chair</w:t>
      </w:r>
      <w:r w:rsidR="00F93601">
        <w:t xml:space="preserve">. </w:t>
      </w:r>
    </w:p>
    <w:p w:rsidR="00E56370" w:rsidRDefault="00E56370" w:rsidP="00E56370">
      <w:pPr>
        <w:pStyle w:val="ListParagraph"/>
        <w:spacing w:after="0" w:line="240" w:lineRule="auto"/>
        <w:ind w:left="1080"/>
        <w:jc w:val="both"/>
      </w:pPr>
    </w:p>
    <w:p w:rsidR="00E56370" w:rsidRDefault="00E56370" w:rsidP="00E56370">
      <w:pPr>
        <w:pStyle w:val="ListParagraph"/>
        <w:spacing w:after="0" w:line="240" w:lineRule="auto"/>
        <w:ind w:left="1080"/>
        <w:jc w:val="both"/>
      </w:pPr>
    </w:p>
    <w:p w:rsidR="00962CD1" w:rsidRDefault="00962CD1" w:rsidP="00E56370">
      <w:pPr>
        <w:spacing w:after="0" w:line="240" w:lineRule="auto"/>
        <w:jc w:val="both"/>
      </w:pPr>
      <w:r>
        <w:t>III.</w:t>
      </w:r>
      <w:r>
        <w:tab/>
      </w:r>
      <w:r w:rsidRPr="00E56370">
        <w:rPr>
          <w:u w:val="single"/>
        </w:rPr>
        <w:t>OFFICERS</w:t>
      </w:r>
      <w:r w:rsidR="00D3204B">
        <w:rPr>
          <w:u w:val="single"/>
        </w:rPr>
        <w:t>/</w:t>
      </w:r>
      <w:r w:rsidR="00310564">
        <w:rPr>
          <w:u w:val="single"/>
        </w:rPr>
        <w:t>LEGAL COUNSEL</w:t>
      </w:r>
    </w:p>
    <w:p w:rsidR="00962CD1" w:rsidRDefault="00962CD1" w:rsidP="004A145B">
      <w:pPr>
        <w:spacing w:after="0" w:line="240" w:lineRule="auto"/>
        <w:jc w:val="both"/>
      </w:pPr>
    </w:p>
    <w:p w:rsidR="001167B1" w:rsidRDefault="00962CD1" w:rsidP="00743C4E">
      <w:pPr>
        <w:pStyle w:val="ListParagraph"/>
        <w:numPr>
          <w:ilvl w:val="0"/>
          <w:numId w:val="6"/>
        </w:numPr>
        <w:spacing w:after="0" w:line="240" w:lineRule="auto"/>
        <w:ind w:left="1440" w:hanging="720"/>
        <w:jc w:val="both"/>
      </w:pPr>
      <w:r>
        <w:t xml:space="preserve">Pursuant to Section 6-102(1) of the Energy Law, the President of the New York State Energy Research and Development Authority </w:t>
      </w:r>
      <w:r w:rsidR="00D3204B">
        <w:t xml:space="preserve">(NYSERDA) </w:t>
      </w:r>
      <w:r>
        <w:t xml:space="preserve">shall serve as the Chair of the Energy Planning Board.  The Chair shall be responsible for presiding over the meetings of the Board and administration of its affairs.  </w:t>
      </w:r>
    </w:p>
    <w:p w:rsidR="00743C4E" w:rsidRDefault="00743C4E" w:rsidP="00743C4E">
      <w:pPr>
        <w:pStyle w:val="ListParagraph"/>
        <w:spacing w:after="0" w:line="240" w:lineRule="auto"/>
        <w:ind w:left="1440"/>
        <w:jc w:val="both"/>
      </w:pPr>
    </w:p>
    <w:p w:rsidR="001167B1" w:rsidRDefault="00962CD1" w:rsidP="00743C4E">
      <w:pPr>
        <w:pStyle w:val="ListParagraph"/>
        <w:numPr>
          <w:ilvl w:val="0"/>
          <w:numId w:val="6"/>
        </w:numPr>
        <w:spacing w:after="0" w:line="240" w:lineRule="auto"/>
        <w:ind w:left="1440" w:hanging="720"/>
        <w:jc w:val="both"/>
      </w:pPr>
      <w:r>
        <w:t xml:space="preserve">The Board may from time to time elect </w:t>
      </w:r>
      <w:r w:rsidR="00A325B5">
        <w:t xml:space="preserve">a Vice-Chair and </w:t>
      </w:r>
      <w:r>
        <w:t>other officers and prescribe their duties.</w:t>
      </w:r>
      <w:r w:rsidR="00743C4E">
        <w:t xml:space="preserve"> </w:t>
      </w:r>
    </w:p>
    <w:p w:rsidR="00743C4E" w:rsidRDefault="00743C4E" w:rsidP="00743C4E">
      <w:pPr>
        <w:pStyle w:val="ListParagraph"/>
      </w:pPr>
    </w:p>
    <w:p w:rsidR="001167B1" w:rsidRDefault="00D3204B" w:rsidP="00743C4E">
      <w:pPr>
        <w:pStyle w:val="ListParagraph"/>
        <w:numPr>
          <w:ilvl w:val="0"/>
          <w:numId w:val="6"/>
        </w:numPr>
        <w:spacing w:after="0" w:line="240" w:lineRule="auto"/>
        <w:ind w:left="1440" w:hanging="720"/>
        <w:jc w:val="both"/>
      </w:pPr>
      <w:r>
        <w:lastRenderedPageBreak/>
        <w:t>NYSERDA’s General Counsel shall serve as legal counsel to the Board</w:t>
      </w:r>
      <w:r w:rsidR="006D34AA">
        <w:t xml:space="preserve"> </w:t>
      </w:r>
      <w:r w:rsidR="006D34AA" w:rsidRPr="007D68E1">
        <w:t>and shall represent the Board at the direction of the Chair.</w:t>
      </w:r>
      <w:r>
        <w:t xml:space="preserve"> </w:t>
      </w:r>
    </w:p>
    <w:p w:rsidR="00743C4E" w:rsidRDefault="00743C4E" w:rsidP="00743C4E">
      <w:pPr>
        <w:pStyle w:val="ListParagraph"/>
        <w:spacing w:after="0" w:line="240" w:lineRule="auto"/>
        <w:ind w:left="1440"/>
        <w:jc w:val="both"/>
      </w:pPr>
    </w:p>
    <w:p w:rsidR="001167B1" w:rsidRDefault="00D3204B" w:rsidP="00743C4E">
      <w:pPr>
        <w:pStyle w:val="ListParagraph"/>
        <w:numPr>
          <w:ilvl w:val="0"/>
          <w:numId w:val="6"/>
        </w:numPr>
        <w:spacing w:after="0" w:line="240" w:lineRule="auto"/>
        <w:ind w:left="1440" w:hanging="720"/>
        <w:jc w:val="both"/>
      </w:pPr>
      <w:r>
        <w:t>The Chair shall designate a member of NYSERDA’s staff as</w:t>
      </w:r>
      <w:r w:rsidR="007D68E1">
        <w:t xml:space="preserve"> </w:t>
      </w:r>
      <w:r>
        <w:t xml:space="preserve">Secretary to the Board.  </w:t>
      </w:r>
    </w:p>
    <w:p w:rsidR="001167B1" w:rsidRDefault="001167B1" w:rsidP="001167B1">
      <w:pPr>
        <w:pStyle w:val="ListParagraph"/>
        <w:spacing w:after="0" w:line="240" w:lineRule="auto"/>
        <w:ind w:left="1080"/>
        <w:jc w:val="both"/>
      </w:pPr>
    </w:p>
    <w:p w:rsidR="001167B1" w:rsidRDefault="001167B1" w:rsidP="001167B1">
      <w:pPr>
        <w:pStyle w:val="ListParagraph"/>
        <w:spacing w:after="0" w:line="240" w:lineRule="auto"/>
        <w:ind w:left="1080"/>
        <w:jc w:val="both"/>
      </w:pPr>
    </w:p>
    <w:p w:rsidR="002C3007" w:rsidRDefault="002C3007" w:rsidP="001167B1">
      <w:pPr>
        <w:pStyle w:val="ListParagraph"/>
        <w:spacing w:after="0" w:line="240" w:lineRule="auto"/>
        <w:ind w:left="0"/>
        <w:jc w:val="both"/>
      </w:pPr>
      <w:r>
        <w:t>IV.</w:t>
      </w:r>
      <w:r>
        <w:tab/>
      </w:r>
      <w:r>
        <w:rPr>
          <w:u w:val="single"/>
        </w:rPr>
        <w:t>POWERS AND DUTIES</w:t>
      </w:r>
    </w:p>
    <w:p w:rsidR="002C3007" w:rsidRDefault="002C3007" w:rsidP="004A145B">
      <w:pPr>
        <w:spacing w:after="0" w:line="240" w:lineRule="auto"/>
        <w:jc w:val="both"/>
      </w:pPr>
    </w:p>
    <w:p w:rsidR="002C3007" w:rsidRDefault="002C3007" w:rsidP="004A145B">
      <w:pPr>
        <w:spacing w:after="0" w:line="240" w:lineRule="auto"/>
        <w:ind w:left="720"/>
        <w:jc w:val="both"/>
      </w:pPr>
      <w:r>
        <w:t xml:space="preserve">The Board shall have the powers and duties set forth in Section 6-102, 6-104, and 6-106 of the Energy Law, including </w:t>
      </w:r>
      <w:r w:rsidR="00A325B5">
        <w:t xml:space="preserve">but not limited to </w:t>
      </w:r>
      <w:r>
        <w:t>the power to</w:t>
      </w:r>
      <w:r w:rsidR="00E33B65">
        <w:t>:</w:t>
      </w:r>
      <w:r w:rsidR="00E56370">
        <w:t xml:space="preserve"> </w:t>
      </w:r>
      <w:r w:rsidR="0052040A">
        <w:t xml:space="preserve">adopt a state energy plan; undertake a study of the overall reliability of the State’s electric transmission and distribution system; </w:t>
      </w:r>
      <w:r>
        <w:t xml:space="preserve">issue subpoenas and subpoenas </w:t>
      </w:r>
      <w:proofErr w:type="spellStart"/>
      <w:r>
        <w:t>duces</w:t>
      </w:r>
      <w:proofErr w:type="spellEnd"/>
      <w:r>
        <w:t xml:space="preserve"> </w:t>
      </w:r>
      <w:proofErr w:type="spellStart"/>
      <w:r>
        <w:t>tecum</w:t>
      </w:r>
      <w:proofErr w:type="spellEnd"/>
      <w:r w:rsidR="00E56370">
        <w:t xml:space="preserve">; </w:t>
      </w:r>
      <w:r>
        <w:t>authorize any person to conduct any hearing which the Board is authorized to conduct</w:t>
      </w:r>
      <w:r w:rsidR="00E56370">
        <w:t xml:space="preserve">; </w:t>
      </w:r>
      <w:r w:rsidR="00A325B5">
        <w:t>promulgate implementing regulations</w:t>
      </w:r>
      <w:r w:rsidR="00E56370">
        <w:t xml:space="preserve">; </w:t>
      </w:r>
      <w:r>
        <w:t>and provide for its own representation</w:t>
      </w:r>
      <w:r w:rsidR="00E56370">
        <w:t xml:space="preserve"> in all actions and proceedings in which the Board is a party. </w:t>
      </w:r>
    </w:p>
    <w:p w:rsidR="002C3007" w:rsidRDefault="002C3007" w:rsidP="004A145B">
      <w:pPr>
        <w:spacing w:after="0" w:line="240" w:lineRule="auto"/>
        <w:ind w:left="720"/>
        <w:jc w:val="both"/>
      </w:pPr>
    </w:p>
    <w:p w:rsidR="00293D83" w:rsidRDefault="00293D83" w:rsidP="004A145B">
      <w:pPr>
        <w:spacing w:after="0" w:line="240" w:lineRule="auto"/>
        <w:ind w:left="720"/>
        <w:jc w:val="both"/>
      </w:pPr>
    </w:p>
    <w:p w:rsidR="002C3007" w:rsidRDefault="002C3007" w:rsidP="004A145B">
      <w:pPr>
        <w:spacing w:after="0" w:line="240" w:lineRule="auto"/>
        <w:jc w:val="both"/>
      </w:pPr>
      <w:r>
        <w:t>V.</w:t>
      </w:r>
      <w:r>
        <w:tab/>
      </w:r>
      <w:r>
        <w:rPr>
          <w:u w:val="single"/>
        </w:rPr>
        <w:t>MEETINGS</w:t>
      </w:r>
    </w:p>
    <w:p w:rsidR="002C3007" w:rsidRDefault="002C3007" w:rsidP="004A145B">
      <w:pPr>
        <w:spacing w:after="0" w:line="240" w:lineRule="auto"/>
        <w:jc w:val="both"/>
      </w:pPr>
    </w:p>
    <w:p w:rsidR="002C3007" w:rsidRDefault="002C3007" w:rsidP="004A145B">
      <w:pPr>
        <w:pStyle w:val="ListParagraph"/>
        <w:numPr>
          <w:ilvl w:val="0"/>
          <w:numId w:val="3"/>
        </w:numPr>
        <w:spacing w:after="0" w:line="240" w:lineRule="auto"/>
        <w:ind w:left="1440" w:hanging="720"/>
        <w:jc w:val="both"/>
      </w:pPr>
      <w:r>
        <w:t xml:space="preserve">Meetings of the Board shall be called by the Chair upon his initiative or upon receipt by him of a written request from any </w:t>
      </w:r>
      <w:r w:rsidR="00E33B65">
        <w:t xml:space="preserve">voting </w:t>
      </w:r>
      <w:r>
        <w:t xml:space="preserve">member of the Board. </w:t>
      </w:r>
    </w:p>
    <w:p w:rsidR="002C3007" w:rsidRDefault="002C3007" w:rsidP="004A145B">
      <w:pPr>
        <w:spacing w:after="0" w:line="240" w:lineRule="auto"/>
        <w:jc w:val="both"/>
      </w:pPr>
    </w:p>
    <w:p w:rsidR="002C3007" w:rsidRDefault="002C3007" w:rsidP="004A145B">
      <w:pPr>
        <w:pStyle w:val="ListParagraph"/>
        <w:numPr>
          <w:ilvl w:val="0"/>
          <w:numId w:val="3"/>
        </w:numPr>
        <w:spacing w:after="0" w:line="240" w:lineRule="auto"/>
        <w:ind w:left="1440" w:hanging="720"/>
        <w:jc w:val="both"/>
      </w:pPr>
      <w:r>
        <w:t xml:space="preserve">Whenever possible, the Chair shall provide each member of the Board with written notice at least </w:t>
      </w:r>
      <w:r w:rsidR="00A464E1">
        <w:t xml:space="preserve">ten </w:t>
      </w:r>
      <w:r>
        <w:t>(1</w:t>
      </w:r>
      <w:r w:rsidR="00A464E1">
        <w:t>0</w:t>
      </w:r>
      <w:r>
        <w:t>) days prior to each meeting of the time, place, and purpose of such meeting.  Such notice shall be accompanied, whenever possible, by such background information as the Chair determines may be needed in considering the business to be discussed at the meeting.</w:t>
      </w:r>
    </w:p>
    <w:p w:rsidR="002C3007" w:rsidRDefault="002C3007" w:rsidP="004A145B">
      <w:pPr>
        <w:pStyle w:val="ListParagraph"/>
        <w:jc w:val="both"/>
      </w:pPr>
    </w:p>
    <w:p w:rsidR="002C3007" w:rsidRDefault="002C3007" w:rsidP="004A145B">
      <w:pPr>
        <w:pStyle w:val="ListParagraph"/>
        <w:numPr>
          <w:ilvl w:val="0"/>
          <w:numId w:val="3"/>
        </w:numPr>
        <w:spacing w:after="0" w:line="240" w:lineRule="auto"/>
        <w:ind w:left="1440" w:hanging="720"/>
        <w:jc w:val="both"/>
      </w:pPr>
      <w:r>
        <w:t>The Chair shall furnish public notice of all meetings in accordance with the requirements of Article 7 of the Public Officers Law.  Meetings of the Board shall be open to the public pursuant to the provisions of such law.</w:t>
      </w:r>
    </w:p>
    <w:p w:rsidR="002C3007" w:rsidRDefault="002C3007" w:rsidP="004A145B">
      <w:pPr>
        <w:pStyle w:val="ListParagraph"/>
        <w:jc w:val="both"/>
      </w:pPr>
    </w:p>
    <w:p w:rsidR="002C3007" w:rsidRDefault="00A464E1" w:rsidP="004A145B">
      <w:pPr>
        <w:pStyle w:val="ListParagraph"/>
        <w:numPr>
          <w:ilvl w:val="0"/>
          <w:numId w:val="3"/>
        </w:numPr>
        <w:spacing w:after="0" w:line="240" w:lineRule="auto"/>
        <w:ind w:left="1440" w:hanging="720"/>
        <w:jc w:val="both"/>
      </w:pPr>
      <w:r>
        <w:t xml:space="preserve">Seven (7) </w:t>
      </w:r>
      <w:r w:rsidR="002C3007">
        <w:t>members of the Board shall constitute a quorum for the transaction of any business of the Board.</w:t>
      </w:r>
    </w:p>
    <w:p w:rsidR="002C3007" w:rsidRDefault="002C3007" w:rsidP="004A145B">
      <w:pPr>
        <w:pStyle w:val="ListParagraph"/>
        <w:jc w:val="both"/>
      </w:pPr>
    </w:p>
    <w:p w:rsidR="002C3007" w:rsidRDefault="002C3007" w:rsidP="004A145B">
      <w:pPr>
        <w:pStyle w:val="ListParagraph"/>
        <w:numPr>
          <w:ilvl w:val="0"/>
          <w:numId w:val="3"/>
        </w:numPr>
        <w:spacing w:after="0" w:line="240" w:lineRule="auto"/>
        <w:ind w:left="1440" w:hanging="720"/>
        <w:jc w:val="both"/>
      </w:pPr>
      <w:r>
        <w:t>The Chair shall provide for the keeping of minutes of the proceedings of the Board and for the preservation of documentary records pertaining to the actions and proceedings of the Board.</w:t>
      </w:r>
    </w:p>
    <w:p w:rsidR="00293D83" w:rsidRDefault="00293D83" w:rsidP="00293D83">
      <w:pPr>
        <w:pStyle w:val="ListParagraph"/>
      </w:pPr>
    </w:p>
    <w:p w:rsidR="00293D83" w:rsidRDefault="00293D83" w:rsidP="004A145B">
      <w:pPr>
        <w:pStyle w:val="ListParagraph"/>
        <w:numPr>
          <w:ilvl w:val="0"/>
          <w:numId w:val="3"/>
        </w:numPr>
        <w:spacing w:after="0" w:line="240" w:lineRule="auto"/>
        <w:ind w:left="1440" w:hanging="720"/>
        <w:jc w:val="both"/>
      </w:pPr>
      <w:r>
        <w:t>Any decision or action by the Board shall be by majority vote.</w:t>
      </w:r>
    </w:p>
    <w:p w:rsidR="00293D83" w:rsidRDefault="00293D83" w:rsidP="00293D83">
      <w:pPr>
        <w:pStyle w:val="ListParagraph"/>
        <w:spacing w:after="0" w:line="240" w:lineRule="auto"/>
        <w:ind w:left="0"/>
      </w:pPr>
    </w:p>
    <w:p w:rsidR="00293D83" w:rsidRDefault="00293D83" w:rsidP="00293D83">
      <w:pPr>
        <w:pStyle w:val="ListParagraph"/>
        <w:spacing w:after="0" w:line="240" w:lineRule="auto"/>
        <w:ind w:left="0"/>
        <w:jc w:val="both"/>
      </w:pPr>
    </w:p>
    <w:p w:rsidR="004A145B" w:rsidRDefault="004A145B" w:rsidP="004A145B">
      <w:pPr>
        <w:spacing w:after="0" w:line="240" w:lineRule="auto"/>
        <w:jc w:val="both"/>
      </w:pPr>
      <w:r>
        <w:t>VI.</w:t>
      </w:r>
      <w:r>
        <w:tab/>
      </w:r>
      <w:r>
        <w:rPr>
          <w:u w:val="single"/>
        </w:rPr>
        <w:t>AMENDMENTS</w:t>
      </w:r>
    </w:p>
    <w:p w:rsidR="004A145B" w:rsidRDefault="004A145B" w:rsidP="004A145B">
      <w:pPr>
        <w:spacing w:after="0" w:line="240" w:lineRule="auto"/>
        <w:jc w:val="both"/>
      </w:pPr>
    </w:p>
    <w:p w:rsidR="00962CD1" w:rsidRPr="00962CD1" w:rsidRDefault="004A145B" w:rsidP="00E66D5A">
      <w:pPr>
        <w:spacing w:after="0" w:line="240" w:lineRule="auto"/>
        <w:ind w:left="720"/>
        <w:jc w:val="both"/>
      </w:pPr>
      <w:r>
        <w:t>These rules of procedure may be amended by resolution adopted by the Board.</w:t>
      </w:r>
    </w:p>
    <w:sectPr w:rsidR="00962CD1" w:rsidRPr="00962CD1" w:rsidSect="004A145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290" w:rsidRDefault="002F3290" w:rsidP="004A145B">
      <w:pPr>
        <w:spacing w:after="0" w:line="240" w:lineRule="auto"/>
      </w:pPr>
      <w:r>
        <w:separator/>
      </w:r>
    </w:p>
  </w:endnote>
  <w:endnote w:type="continuationSeparator" w:id="0">
    <w:p w:rsidR="002F3290" w:rsidRDefault="002F3290" w:rsidP="004A1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9047"/>
      <w:docPartObj>
        <w:docPartGallery w:val="Page Numbers (Bottom of Page)"/>
        <w:docPartUnique/>
      </w:docPartObj>
    </w:sdtPr>
    <w:sdtContent>
      <w:p w:rsidR="002F3290" w:rsidRDefault="00A377E6">
        <w:pPr>
          <w:pStyle w:val="Footer"/>
          <w:jc w:val="center"/>
        </w:pPr>
        <w:fldSimple w:instr=" PAGE   \* MERGEFORMAT ">
          <w:r w:rsidR="00E66D5A">
            <w:rPr>
              <w:noProof/>
            </w:rPr>
            <w:t>2</w:t>
          </w:r>
        </w:fldSimple>
      </w:p>
    </w:sdtContent>
  </w:sdt>
  <w:p w:rsidR="002F3290" w:rsidRDefault="002F32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290" w:rsidRDefault="002F3290" w:rsidP="004A145B">
      <w:pPr>
        <w:spacing w:after="0" w:line="240" w:lineRule="auto"/>
      </w:pPr>
      <w:r>
        <w:separator/>
      </w:r>
    </w:p>
  </w:footnote>
  <w:footnote w:type="continuationSeparator" w:id="0">
    <w:p w:rsidR="002F3290" w:rsidRDefault="002F3290" w:rsidP="004A14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02C32"/>
    <w:multiLevelType w:val="hybridMultilevel"/>
    <w:tmpl w:val="262241CA"/>
    <w:lvl w:ilvl="0" w:tplc="1BB668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401E9"/>
    <w:multiLevelType w:val="hybridMultilevel"/>
    <w:tmpl w:val="44B429F6"/>
    <w:lvl w:ilvl="0" w:tplc="438A9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E81C41"/>
    <w:multiLevelType w:val="hybridMultilevel"/>
    <w:tmpl w:val="A63E25DA"/>
    <w:lvl w:ilvl="0" w:tplc="2E54A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576018"/>
    <w:multiLevelType w:val="hybridMultilevel"/>
    <w:tmpl w:val="CD386032"/>
    <w:lvl w:ilvl="0" w:tplc="438A9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942E89"/>
    <w:multiLevelType w:val="hybridMultilevel"/>
    <w:tmpl w:val="38F6A1C6"/>
    <w:lvl w:ilvl="0" w:tplc="FF46B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C13452"/>
    <w:multiLevelType w:val="hybridMultilevel"/>
    <w:tmpl w:val="6ADC04C8"/>
    <w:lvl w:ilvl="0" w:tplc="AB2C4E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62CD1"/>
    <w:rsid w:val="0002211A"/>
    <w:rsid w:val="0006187E"/>
    <w:rsid w:val="001167B1"/>
    <w:rsid w:val="001315DC"/>
    <w:rsid w:val="00243CFE"/>
    <w:rsid w:val="00254CAD"/>
    <w:rsid w:val="00293D83"/>
    <w:rsid w:val="002C3007"/>
    <w:rsid w:val="002F3290"/>
    <w:rsid w:val="00310564"/>
    <w:rsid w:val="003458F9"/>
    <w:rsid w:val="004A145B"/>
    <w:rsid w:val="004E5C21"/>
    <w:rsid w:val="00503B15"/>
    <w:rsid w:val="0052040A"/>
    <w:rsid w:val="00561494"/>
    <w:rsid w:val="00566314"/>
    <w:rsid w:val="006D34AA"/>
    <w:rsid w:val="0072072D"/>
    <w:rsid w:val="00743C4E"/>
    <w:rsid w:val="00795492"/>
    <w:rsid w:val="007D68E1"/>
    <w:rsid w:val="00962CD1"/>
    <w:rsid w:val="009D2350"/>
    <w:rsid w:val="00A01E63"/>
    <w:rsid w:val="00A325B5"/>
    <w:rsid w:val="00A377E6"/>
    <w:rsid w:val="00A464E1"/>
    <w:rsid w:val="00A5385B"/>
    <w:rsid w:val="00BD32DF"/>
    <w:rsid w:val="00BF61BC"/>
    <w:rsid w:val="00C94DB8"/>
    <w:rsid w:val="00C9705B"/>
    <w:rsid w:val="00D3204B"/>
    <w:rsid w:val="00E208FE"/>
    <w:rsid w:val="00E33B65"/>
    <w:rsid w:val="00E56370"/>
    <w:rsid w:val="00E66D5A"/>
    <w:rsid w:val="00F111D3"/>
    <w:rsid w:val="00F45ECE"/>
    <w:rsid w:val="00F93601"/>
    <w:rsid w:val="00FA5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CD1"/>
    <w:pPr>
      <w:ind w:left="720"/>
      <w:contextualSpacing/>
    </w:pPr>
  </w:style>
  <w:style w:type="paragraph" w:styleId="Header">
    <w:name w:val="header"/>
    <w:basedOn w:val="Normal"/>
    <w:link w:val="HeaderChar"/>
    <w:uiPriority w:val="99"/>
    <w:semiHidden/>
    <w:unhideWhenUsed/>
    <w:rsid w:val="004A14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145B"/>
  </w:style>
  <w:style w:type="paragraph" w:styleId="Footer">
    <w:name w:val="footer"/>
    <w:basedOn w:val="Normal"/>
    <w:link w:val="FooterChar"/>
    <w:uiPriority w:val="99"/>
    <w:unhideWhenUsed/>
    <w:rsid w:val="004A1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4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9BB9590-9459-4E2E-8723-3AC20BD58ACE}"/>
</file>

<file path=customXml/itemProps2.xml><?xml version="1.0" encoding="utf-8"?>
<ds:datastoreItem xmlns:ds="http://schemas.openxmlformats.org/officeDocument/2006/customXml" ds:itemID="{FE8A5F36-A067-41CF-96D8-0C9F749A2B70}"/>
</file>

<file path=customXml/itemProps3.xml><?xml version="1.0" encoding="utf-8"?>
<ds:datastoreItem xmlns:ds="http://schemas.openxmlformats.org/officeDocument/2006/customXml" ds:itemID="{9ABFB211-8D94-4C39-AEED-825AF6FC71B9}"/>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NYS Energy R&amp;D Authority</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Kendall</dc:creator>
  <cp:keywords/>
  <dc:description/>
  <cp:lastModifiedBy>Peggy Davidson</cp:lastModifiedBy>
  <cp:revision>2</cp:revision>
  <dcterms:created xsi:type="dcterms:W3CDTF">2010-11-24T15:56:00Z</dcterms:created>
  <dcterms:modified xsi:type="dcterms:W3CDTF">2010-11-24T15:56:00Z</dcterms:modified>
</cp:coreProperties>
</file>